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аттестационной  комиссии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w:t>
      </w:r>
      <w:bookmarkStart w:id="0" w:name="_GoBack"/>
      <w:bookmarkEnd w:id="0"/>
      <w:r w:rsidR="00CA40B8" w:rsidRPr="00CA40B8">
        <w:rPr>
          <w:rFonts w:ascii="Times New Roman" w:hAnsi="Times New Roman" w:cs="Times New Roman"/>
          <w:sz w:val="28"/>
        </w:rPr>
        <w:t>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eastAsia="Times New Roman" w:hAnsi="Times New Roman" w:cs="Times New Roman"/>
          <w:sz w:val="28"/>
          <w:szCs w:val="28"/>
          <w:lang w:eastAsia="ru-RU"/>
        </w:rPr>
        <w:t>минобразование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«Об утверждении Положения 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настоящим приказом 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в соответствии с графиком, утверждаемым приказом минобразования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создаваемыми в соответствии с приказом минобразования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федеральных органов исполнительной 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 xml:space="preserve">ов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минобразования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lastRenderedPageBreak/>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w:t>
      </w:r>
      <w:r w:rsidRPr="0032103E">
        <w:rPr>
          <w:rFonts w:ascii="Times New Roman" w:eastAsia="MS Mincho" w:hAnsi="Times New Roman" w:cs="Times New Roman"/>
          <w:sz w:val="28"/>
          <w:szCs w:val="28"/>
          <w:lang w:eastAsia="ru-RU"/>
        </w:rPr>
        <w:lastRenderedPageBreak/>
        <w:t xml:space="preserve">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w:t>
      </w:r>
      <w:r w:rsidRPr="00882694">
        <w:rPr>
          <w:rFonts w:ascii="Times New Roman" w:eastAsia="Times New Roman" w:hAnsi="Times New Roman" w:cs="Times New Roman"/>
          <w:sz w:val="28"/>
          <w:szCs w:val="28"/>
          <w:lang w:eastAsia="ru-RU"/>
        </w:rPr>
        <w:lastRenderedPageBreak/>
        <w:t xml:space="preserve">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lastRenderedPageBreak/>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по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указанной в графе 1</w:t>
            </w:r>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lastRenderedPageBreak/>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азмещение на официальном сайте 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экспертных групп </w:t>
      </w:r>
      <w:r w:rsidR="004669C5" w:rsidRPr="004669C5">
        <w:rPr>
          <w:rFonts w:ascii="Times New Roman" w:eastAsia="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может включать 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r w:rsidR="005C028E">
        <w:rPr>
          <w:rFonts w:ascii="Times New Roman" w:eastAsia="Times New Roman" w:hAnsi="Times New Roman" w:cs="Times New Roman"/>
          <w:sz w:val="28"/>
          <w:szCs w:val="28"/>
          <w:lang w:eastAsia="ru-RU"/>
        </w:rPr>
        <w:t>минобразования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к приказу минобразования</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Ind w:w="-1313" w:type="dxa"/>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Ясиновская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по работе с кадетскими учебными заведениями департамента по делам 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непосредственно в </w:t>
      </w:r>
      <w:r w:rsidR="00E82F61">
        <w:rPr>
          <w:rFonts w:ascii="Times New Roman" w:eastAsia="Times New Roman" w:hAnsi="Times New Roman" w:cs="Times New Roman"/>
          <w:sz w:val="28"/>
          <w:szCs w:val="20"/>
          <w:lang w:eastAsia="ru-RU"/>
        </w:rPr>
        <w:t>аттестационную комиссию</w:t>
      </w:r>
      <w:r w:rsidRPr="000F24D6">
        <w:rPr>
          <w:rFonts w:ascii="Times New Roman" w:eastAsia="Times New Roman" w:hAnsi="Times New Roman" w:cs="Times New Roman"/>
          <w:sz w:val="28"/>
          <w:szCs w:val="20"/>
          <w:lang w:eastAsia="ru-RU"/>
        </w:rPr>
        <w:t xml:space="preserve">, либо направляет в адрес </w:t>
      </w:r>
      <w:r w:rsidR="00E82F61">
        <w:rPr>
          <w:rFonts w:ascii="Times New Roman" w:eastAsia="Times New Roman" w:hAnsi="Times New Roman" w:cs="Times New Roman"/>
          <w:sz w:val="28"/>
          <w:szCs w:val="20"/>
          <w:lang w:eastAsia="ru-RU"/>
        </w:rPr>
        <w:t>аттестационной комиссии</w:t>
      </w:r>
      <w:r w:rsidRPr="000F24D6">
        <w:rPr>
          <w:rFonts w:ascii="Times New Roman" w:eastAsia="Times New Roman" w:hAnsi="Times New Roman" w:cs="Times New Roman"/>
          <w:sz w:val="28"/>
          <w:szCs w:val="20"/>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на белой бумаге формата А4, текст TimesNewRoman, шрифт №</w:t>
      </w:r>
      <w:r w:rsidR="00DE2ECE" w:rsidRPr="000F24D6">
        <w:rPr>
          <w:rFonts w:ascii="Times New Roman" w:eastAsia="Times New Roman" w:hAnsi="Times New Roman" w:cs="Times New Roman"/>
          <w:sz w:val="28"/>
          <w:szCs w:val="28"/>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ом работнике в электронную базу и</w:t>
      </w:r>
      <w:r w:rsidRPr="000F24D6">
        <w:rPr>
          <w:rFonts w:ascii="Times New Roman" w:eastAsia="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w:t>
      </w:r>
      <w:r w:rsidR="00DE2ECE" w:rsidRPr="000F24D6">
        <w:rPr>
          <w:rFonts w:ascii="Times New Roman" w:eastAsia="Times New Roman" w:hAnsi="Times New Roman" w:cs="Times New Roman"/>
          <w:sz w:val="28"/>
          <w:szCs w:val="28"/>
          <w:lang w:eastAsia="ru-RU"/>
        </w:rPr>
        <w:t xml:space="preserve"> № 2</w:t>
      </w:r>
      <w:r w:rsidRPr="000F24D6">
        <w:rPr>
          <w:rFonts w:ascii="Times New Roman" w:eastAsia="Times New Roman" w:hAnsi="Times New Roman" w:cs="Times New Roman"/>
          <w:sz w:val="28"/>
          <w:szCs w:val="28"/>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комиссии </w:t>
      </w:r>
      <w:r w:rsidRPr="000F24D6">
        <w:rPr>
          <w:rFonts w:ascii="Times New Roman" w:eastAsia="Times New Roman" w:hAnsi="Times New Roman" w:cs="Times New Roman"/>
          <w:sz w:val="28"/>
          <w:szCs w:val="28"/>
          <w:lang w:eastAsia="ru-RU"/>
        </w:rPr>
        <w:t xml:space="preserve">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для каждого педагогического работника.</w:t>
      </w:r>
      <w:r w:rsidR="0003433A" w:rsidRPr="000F24D6">
        <w:rPr>
          <w:rFonts w:ascii="Times New Roman" w:eastAsia="Times New Roman" w:hAnsi="Times New Roman" w:cs="Times New Roman"/>
          <w:sz w:val="40"/>
          <w:szCs w:val="28"/>
          <w:lang w:eastAsia="ru-RU"/>
        </w:rPr>
        <w:t xml:space="preserve"> </w:t>
      </w:r>
      <w:r w:rsidRPr="000F24D6">
        <w:rPr>
          <w:rFonts w:ascii="Times New Roman" w:eastAsia="Times New Roman" w:hAnsi="Times New Roman" w:cs="Times New Roman"/>
          <w:sz w:val="28"/>
          <w:szCs w:val="28"/>
          <w:lang w:eastAsia="ru-RU"/>
        </w:rPr>
        <w:t xml:space="preserve">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итогов 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установлены </w:t>
      </w:r>
      <w:r w:rsidRPr="000D58A7">
        <w:rPr>
          <w:rFonts w:ascii="Times New Roman" w:hAnsi="Times New Roman" w:cs="Times New Roman"/>
          <w:color w:val="000000" w:themeColor="text1"/>
          <w:sz w:val="28"/>
          <w:szCs w:val="28"/>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0D58A7">
        <w:rPr>
          <w:rFonts w:ascii="Times New Roman" w:hAnsi="Times New Roman" w:cs="Times New Roman"/>
          <w:color w:val="000000" w:themeColor="text1"/>
          <w:sz w:val="28"/>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мотивированный отказ на имя педагогического работ</w:t>
      </w:r>
      <w:r w:rsidR="00E82F61">
        <w:rPr>
          <w:rFonts w:ascii="Times New Roman" w:eastAsia="Times New Roman" w:hAnsi="Times New Roman" w:cs="Times New Roman"/>
          <w:sz w:val="28"/>
          <w:szCs w:val="28"/>
          <w:lang w:eastAsia="ru-RU"/>
        </w:rPr>
        <w:t xml:space="preserve">ника с указанием причины отказа.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змещается на официальном сайте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аттестационной комиссией и утверждения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60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в течение месяца после аттестации педагогические работники могут получить копию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28"/>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(должность, место работы,</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полное наименование образовательного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паспортные данные (серия, номер, кем и когда выдан)___________________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сот._________________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Почтовый адрес:_________________________________________________________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Искомая квалификационная категория (первая, высшая)___________;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9"/>
          <w:footerReference w:type="even" r:id="rId10"/>
          <w:footerReference w:type="default" r:id="rId11"/>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мониторинга 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Учет физической нагрузки детей на занятиях физическими 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Стабильная позитивная динамика результатов логопедической коррекции речевых 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психолог-педагогических 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оптимальных психолог-педагогических условий для освоения воспитанниками образовательных программ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инструктора по физической культуре в организации и проведении мониторинга здоровья и физического 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учителя-логопеда в работе ПМПк</w:t>
            </w:r>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инструктора по физической культуре системы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учителя-логопеда системы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музыкальной и 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патриотических ценностей и культурно-исторических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педагога и ее 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инструктора по физической 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учителя-логопеда и ее практическая 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педагогом – психологом новых образовательных технологий, в т.ч. 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в условиях введения ФГОС ДО</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достижений реализация инструктором по физической культуре образовательных программ для 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психолого-педагогических условий для освоения воспитанниками образовательных программ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для дошкольников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учителя-логопеда в работе ПМПк</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современных методов диагностики речевых нарушений и психолого-педагогического обследования неречевых функций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Продуктивное использование новых 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Продуктивное использование 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выполнения  обучающимися  спортивных разрядов, инструкторская и соревновательная практика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Сохранность контингента обучающихся (не менее 70%)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тренера-преподавателя  в разработку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по ДОП</w:t>
            </w:r>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 xml:space="preserve">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Развитие интеллектуального и творческого потенциала личности в процессе 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и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Отражение в программно-методических материалах работы концертмейстера по выявлению 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программы основанной на личностно-деятельностном и компетентностном 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Наличие в деятельности тренера-преподавателя механизмов индивидуализации содержания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-практических конференциях, педагогических чтениях, в</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овоспитабразования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 )</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Вклад педагога-организатора образования  в разработку  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тренера-преподавателя  в разработку ДОП (</w:t>
            </w:r>
            <w:r w:rsidRPr="00C76B0D">
              <w:rPr>
                <w:rFonts w:ascii="Times New Roman" w:eastAsia="Times New Roman" w:hAnsi="Times New Roman" w:cs="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психолого-педагогических условий для освоения школьникам 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t>Формирование у обучающихся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 xml:space="preserve">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(авторской) части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2Наличие в деятельности тренера-преподавателя механизмов индивидуализации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Личный вклад педагога в реализацию инновационных проектов в статусе федеральной или областной инновационной 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средствами экспериментальной и инновационной деятельности, участие в работе федеральной (областной) 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Вовлечение педагогом-организатором в общественно-полезную и трудовую деятельность,  использование 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(сайт, блог, электронное портфолио, СМИ и др)</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в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r w:rsidRPr="00C76B0D">
        <w:rPr>
          <w:rFonts w:ascii="Times New Roman" w:eastAsia="Times New Roman" w:hAnsi="Times New Roman" w:cs="Times New Roman"/>
          <w:sz w:val="24"/>
          <w:szCs w:val="20"/>
          <w:lang w:eastAsia="ru-RU"/>
        </w:rPr>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673"/>
        <w:gridCol w:w="2356"/>
        <w:gridCol w:w="1182"/>
        <w:gridCol w:w="1175"/>
        <w:gridCol w:w="2292"/>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диагностики уровня 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постинтернатном 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мотивирующей образовательной среды для развития, личностного самоопределения и самореализации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гражданско-патриотического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Положительная динамика снижения количества детей, состоящих на профилактическом учёте в правоохранительных органах и на внутришкольном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деятельности педагога по   предупреждению 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социально-значимой волонтерской деятельности, 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Психолого-педагогическое сопровождение 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E4446C" w:rsidRDefault="00E4446C" w:rsidP="00FB4E07">
      <w:pPr>
        <w:tabs>
          <w:tab w:val="left" w:pos="993"/>
        </w:tabs>
        <w:suppressAutoHyphens/>
        <w:spacing w:line="240" w:lineRule="auto"/>
        <w:contextualSpacing/>
        <w:jc w:val="both"/>
        <w:rPr>
          <w:rFonts w:ascii="Times New Roman" w:eastAsia="Times New Roman" w:hAnsi="Times New Roman" w:cs="Times New Roman"/>
          <w:b/>
          <w:sz w:val="24"/>
          <w:szCs w:val="28"/>
          <w:lang w:eastAsia="ru-RU"/>
        </w:rPr>
      </w:pP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осуществляющих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деятельность,  при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 xml:space="preserve">я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49" w:rsidRDefault="006C6649" w:rsidP="00CA40B8">
      <w:pPr>
        <w:spacing w:line="240" w:lineRule="auto"/>
      </w:pPr>
      <w:r>
        <w:separator/>
      </w:r>
    </w:p>
  </w:endnote>
  <w:endnote w:type="continuationSeparator" w:id="0">
    <w:p w:rsidR="006C6649" w:rsidRDefault="006C6649"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5237" w:rsidRDefault="001D5237" w:rsidP="003065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2A463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49" w:rsidRDefault="006C6649" w:rsidP="00CA40B8">
      <w:pPr>
        <w:spacing w:line="240" w:lineRule="auto"/>
      </w:pPr>
      <w:r>
        <w:separator/>
      </w:r>
    </w:p>
  </w:footnote>
  <w:footnote w:type="continuationSeparator" w:id="0">
    <w:p w:rsidR="006C6649" w:rsidRDefault="006C6649" w:rsidP="00C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0455"/>
      <w:docPartObj>
        <w:docPartGallery w:val="Page Numbers (Top of Page)"/>
        <w:docPartUnique/>
      </w:docPartObj>
    </w:sdtPr>
    <w:sdtEndPr>
      <w:rPr>
        <w:rFonts w:ascii="Times New Roman" w:hAnsi="Times New Roman" w:cs="Times New Roman"/>
      </w:rPr>
    </w:sdtEndPr>
    <w:sdtContent>
      <w:p w:rsidR="001D5237" w:rsidRPr="007542C6" w:rsidRDefault="001D5237">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DA1B4A">
          <w:rPr>
            <w:rFonts w:ascii="Times New Roman" w:hAnsi="Times New Roman" w:cs="Times New Roman"/>
            <w:noProof/>
          </w:rPr>
          <w:t>2</w:t>
        </w:r>
        <w:r w:rsidRPr="007542C6">
          <w:rPr>
            <w:rFonts w:ascii="Times New Roman" w:hAnsi="Times New Roman" w:cs="Times New Roman"/>
          </w:rPr>
          <w:fldChar w:fldCharType="end"/>
        </w:r>
      </w:p>
    </w:sdtContent>
  </w:sdt>
  <w:p w:rsidR="001D5237" w:rsidRDefault="001D52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07DC"/>
    <w:rsid w:val="001D5237"/>
    <w:rsid w:val="001F70C3"/>
    <w:rsid w:val="0021292B"/>
    <w:rsid w:val="00227AC3"/>
    <w:rsid w:val="0025286D"/>
    <w:rsid w:val="00283777"/>
    <w:rsid w:val="002842F6"/>
    <w:rsid w:val="00290996"/>
    <w:rsid w:val="002A463A"/>
    <w:rsid w:val="002B1F6B"/>
    <w:rsid w:val="00306542"/>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34AD"/>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802146"/>
    <w:rsid w:val="008048A5"/>
    <w:rsid w:val="00882694"/>
    <w:rsid w:val="008836E5"/>
    <w:rsid w:val="00891470"/>
    <w:rsid w:val="008A27B3"/>
    <w:rsid w:val="008B7600"/>
    <w:rsid w:val="008E34F9"/>
    <w:rsid w:val="00956580"/>
    <w:rsid w:val="0097208C"/>
    <w:rsid w:val="00990981"/>
    <w:rsid w:val="00995D6B"/>
    <w:rsid w:val="009B35F0"/>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1B4A"/>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DDD8-E29D-42A6-8CEF-227A0991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39956</Words>
  <Characters>227750</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Мащенко Инна Сергеевна</cp:lastModifiedBy>
  <cp:revision>3</cp:revision>
  <cp:lastPrinted>2017-08-22T12:17:00Z</cp:lastPrinted>
  <dcterms:created xsi:type="dcterms:W3CDTF">2017-08-23T09:24:00Z</dcterms:created>
  <dcterms:modified xsi:type="dcterms:W3CDTF">2017-08-23T09:24:00Z</dcterms:modified>
</cp:coreProperties>
</file>